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Call for new Joint Highway Committee (JHC) Project Applications </w:t>
      </w:r>
    </w:p>
    <w:p w14:paraId="00000002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Project Application Schedule: </w:t>
      </w:r>
    </w:p>
    <w:p w14:paraId="00000003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8"/>
        <w:rPr>
          <w:color w:val="000000"/>
        </w:rPr>
      </w:pPr>
      <w:r>
        <w:rPr>
          <w:color w:val="000000"/>
        </w:rPr>
        <w:t xml:space="preserve">October 3, 2022 – Call for Project Applications  </w:t>
      </w:r>
    </w:p>
    <w:p w14:paraId="00000004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rPr>
          <w:color w:val="000000"/>
        </w:rPr>
      </w:pPr>
      <w:r>
        <w:rPr>
          <w:color w:val="000000"/>
        </w:rPr>
        <w:t xml:space="preserve">January 13, 2023 – All applications are </w:t>
      </w:r>
      <w:proofErr w:type="gramStart"/>
      <w:r>
        <w:rPr>
          <w:color w:val="000000"/>
        </w:rPr>
        <w:t>due</w:t>
      </w:r>
      <w:proofErr w:type="gramEnd"/>
      <w:r>
        <w:rPr>
          <w:color w:val="000000"/>
        </w:rPr>
        <w:t xml:space="preserve">  </w:t>
      </w:r>
    </w:p>
    <w:p w14:paraId="00000005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4"/>
        <w:rPr>
          <w:color w:val="000000"/>
        </w:rPr>
      </w:pPr>
      <w:r>
        <w:rPr>
          <w:color w:val="000000"/>
        </w:rPr>
        <w:t xml:space="preserve">February/March – 2023 – JHC Sub-Committees meet to evaluate </w:t>
      </w:r>
      <w:proofErr w:type="gramStart"/>
      <w:r>
        <w:rPr>
          <w:color w:val="000000"/>
        </w:rPr>
        <w:t>applications</w:t>
      </w:r>
      <w:proofErr w:type="gramEnd"/>
      <w:r>
        <w:rPr>
          <w:color w:val="000000"/>
        </w:rPr>
        <w:t xml:space="preserve">  </w:t>
      </w:r>
    </w:p>
    <w:p w14:paraId="00000006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14"/>
        <w:rPr>
          <w:color w:val="000000"/>
        </w:rPr>
      </w:pPr>
      <w:r>
        <w:rPr>
          <w:color w:val="000000"/>
        </w:rPr>
        <w:t xml:space="preserve">March/April 2023– The Full JHC approves sub-committee recommendations.  </w:t>
      </w:r>
    </w:p>
    <w:p w14:paraId="00000007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78" w:lineRule="auto"/>
        <w:ind w:right="1025" w:firstLine="2"/>
        <w:rPr>
          <w:color w:val="000000"/>
        </w:rPr>
      </w:pPr>
      <w:r>
        <w:rPr>
          <w:color w:val="000000"/>
        </w:rPr>
        <w:t xml:space="preserve">April 2023 – Final Recommendations are forwarded to the Utah Transportation Commission.  June 20223 – Draft STIP is approved to go out for public </w:t>
      </w:r>
      <w:proofErr w:type="gramStart"/>
      <w:r>
        <w:rPr>
          <w:color w:val="000000"/>
        </w:rPr>
        <w:t>comment</w:t>
      </w:r>
      <w:proofErr w:type="gramEnd"/>
      <w:r>
        <w:rPr>
          <w:color w:val="000000"/>
        </w:rPr>
        <w:t xml:space="preserve">  </w:t>
      </w:r>
    </w:p>
    <w:p w14:paraId="00000008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"/>
        <w:rPr>
          <w:color w:val="000000"/>
        </w:rPr>
      </w:pPr>
      <w:r>
        <w:rPr>
          <w:color w:val="000000"/>
        </w:rPr>
        <w:t xml:space="preserve">Aug. 2023 – Final STIP is approved. </w:t>
      </w:r>
    </w:p>
    <w:p w14:paraId="00000009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78" w:lineRule="auto"/>
        <w:ind w:left="9" w:right="26" w:hanging="9"/>
        <w:rPr>
          <w:color w:val="000000"/>
        </w:rPr>
      </w:pPr>
      <w:r>
        <w:rPr>
          <w:color w:val="000000"/>
          <w:sz w:val="23"/>
          <w:szCs w:val="23"/>
        </w:rPr>
        <w:t xml:space="preserve">January 13, 2023 </w:t>
      </w:r>
      <w:r>
        <w:rPr>
          <w:color w:val="000000"/>
        </w:rPr>
        <w:t xml:space="preserve">– All applications will be due by 5:00 PM sent to the following email address (no </w:t>
      </w:r>
      <w:proofErr w:type="gramStart"/>
      <w:r>
        <w:rPr>
          <w:color w:val="000000"/>
        </w:rPr>
        <w:t>hard  copies</w:t>
      </w:r>
      <w:proofErr w:type="gramEnd"/>
      <w:r>
        <w:rPr>
          <w:color w:val="000000"/>
        </w:rPr>
        <w:t xml:space="preserve">):  </w:t>
      </w:r>
    </w:p>
    <w:p w14:paraId="0000000A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9"/>
        <w:rPr>
          <w:color w:val="0000FF"/>
        </w:rPr>
      </w:pPr>
      <w:r>
        <w:rPr>
          <w:color w:val="0000FF"/>
          <w:u w:val="single"/>
        </w:rPr>
        <w:t xml:space="preserve">cpotter@utah.gov </w:t>
      </w:r>
      <w:r>
        <w:rPr>
          <w:color w:val="0000FF"/>
        </w:rPr>
        <w:t xml:space="preserve"> </w:t>
      </w:r>
    </w:p>
    <w:p w14:paraId="0000000B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3" w:lineRule="auto"/>
        <w:ind w:left="4" w:right="1086" w:firstLine="8"/>
        <w:rPr>
          <w:color w:val="000000"/>
        </w:rPr>
      </w:pPr>
      <w:r>
        <w:rPr>
          <w:color w:val="000000"/>
        </w:rPr>
        <w:t xml:space="preserve">I will respond to your submission to confirm receiving your application. If you do not </w:t>
      </w:r>
      <w:proofErr w:type="gramStart"/>
      <w:r>
        <w:rPr>
          <w:color w:val="000000"/>
        </w:rPr>
        <w:t>receive  a</w:t>
      </w:r>
      <w:proofErr w:type="gramEnd"/>
      <w:r>
        <w:rPr>
          <w:color w:val="000000"/>
        </w:rPr>
        <w:t xml:space="preserve"> response within 2 working days please contact me.  </w:t>
      </w:r>
    </w:p>
    <w:p w14:paraId="0000000C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2"/>
        <w:rPr>
          <w:color w:val="000000"/>
        </w:rPr>
      </w:pPr>
      <w:r>
        <w:rPr>
          <w:color w:val="000000"/>
        </w:rPr>
        <w:t xml:space="preserve">All applications will include the following information: </w:t>
      </w:r>
    </w:p>
    <w:p w14:paraId="0000000D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78"/>
        <w:rPr>
          <w:color w:val="000000"/>
        </w:rPr>
      </w:pPr>
      <w:r>
        <w:rPr>
          <w:color w:val="000000"/>
        </w:rPr>
        <w:t xml:space="preserve">1) Cover Letter  </w:t>
      </w:r>
    </w:p>
    <w:p w14:paraId="0000000E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2" w:lineRule="auto"/>
        <w:ind w:left="729" w:right="617" w:hanging="357"/>
        <w:rPr>
          <w:color w:val="0000FF"/>
        </w:rPr>
      </w:pPr>
      <w:r>
        <w:rPr>
          <w:color w:val="000000"/>
        </w:rPr>
        <w:t xml:space="preserve">2) On-line Application form – available from the UDOT Website at the following location:  </w:t>
      </w:r>
      <w:r>
        <w:rPr>
          <w:color w:val="0000FF"/>
          <w:u w:val="single"/>
        </w:rPr>
        <w:t>https://www.udot.utah.gov/connect/business/public-entities/local-government-program assistance/</w:t>
      </w:r>
      <w:r>
        <w:rPr>
          <w:color w:val="0000FF"/>
        </w:rPr>
        <w:t xml:space="preserve"> </w:t>
      </w:r>
    </w:p>
    <w:p w14:paraId="0000000F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79" w:lineRule="auto"/>
        <w:ind w:left="370" w:right="42" w:firstLine="357"/>
        <w:rPr>
          <w:color w:val="000000"/>
        </w:rPr>
      </w:pPr>
      <w:r>
        <w:rPr>
          <w:color w:val="000000"/>
        </w:rPr>
        <w:t xml:space="preserve">Note: You must open the MS Word document as a template </w:t>
      </w:r>
      <w:proofErr w:type="gramStart"/>
      <w:r>
        <w:rPr>
          <w:color w:val="000000"/>
        </w:rPr>
        <w:t>in order for</w:t>
      </w:r>
      <w:proofErr w:type="gramEnd"/>
      <w:r>
        <w:rPr>
          <w:color w:val="000000"/>
        </w:rPr>
        <w:t xml:space="preserve"> the drop downs to work! 3) Concept Cost estimate spreadsheet (Updated January 2021) – All applications will be required </w:t>
      </w:r>
      <w:proofErr w:type="gramStart"/>
      <w:r>
        <w:rPr>
          <w:color w:val="000000"/>
        </w:rPr>
        <w:t>to  use</w:t>
      </w:r>
      <w:proofErr w:type="gramEnd"/>
      <w:r>
        <w:rPr>
          <w:color w:val="000000"/>
        </w:rPr>
        <w:t xml:space="preserve"> the Concept Estimate form. The Concept Cost Estimate form is available from the </w:t>
      </w:r>
      <w:proofErr w:type="gramStart"/>
      <w:r>
        <w:rPr>
          <w:color w:val="000000"/>
        </w:rPr>
        <w:t>UDOT  Website</w:t>
      </w:r>
      <w:proofErr w:type="gramEnd"/>
      <w:r>
        <w:rPr>
          <w:color w:val="000000"/>
        </w:rPr>
        <w:t xml:space="preserve"> at the following location:  </w:t>
      </w:r>
    </w:p>
    <w:p w14:paraId="00000010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0" w:lineRule="auto"/>
        <w:ind w:left="727" w:right="619" w:firstLine="6"/>
        <w:rPr>
          <w:color w:val="0000FF"/>
        </w:rPr>
      </w:pPr>
      <w:r>
        <w:rPr>
          <w:color w:val="0000FF"/>
          <w:u w:val="single"/>
        </w:rPr>
        <w:t>https://www.udot.utah.gov/connect/business/public-entities/local-government-program assistance/</w:t>
      </w:r>
      <w:r>
        <w:rPr>
          <w:color w:val="0000FF"/>
        </w:rPr>
        <w:t xml:space="preserve"> </w:t>
      </w:r>
    </w:p>
    <w:p w14:paraId="00000011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64"/>
        <w:rPr>
          <w:color w:val="000000"/>
        </w:rPr>
      </w:pPr>
      <w:r>
        <w:rPr>
          <w:color w:val="000000"/>
        </w:rPr>
        <w:t xml:space="preserve">4) Location Map(s)  </w:t>
      </w:r>
    </w:p>
    <w:p w14:paraId="00000012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 w:line="243" w:lineRule="auto"/>
        <w:ind w:left="14" w:right="255" w:hanging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Joint Highway Committee (JHC) is now calling for new project </w:t>
      </w:r>
      <w:proofErr w:type="gramStart"/>
      <w:r>
        <w:rPr>
          <w:color w:val="000000"/>
          <w:sz w:val="28"/>
          <w:szCs w:val="28"/>
        </w:rPr>
        <w:t>applications  in</w:t>
      </w:r>
      <w:proofErr w:type="gramEnd"/>
      <w:r>
        <w:rPr>
          <w:color w:val="000000"/>
          <w:sz w:val="28"/>
          <w:szCs w:val="28"/>
        </w:rPr>
        <w:t xml:space="preserve"> the following categories: </w:t>
      </w:r>
    </w:p>
    <w:p w14:paraId="00000013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ind w:left="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Non-Urban Funds</w:t>
      </w:r>
      <w:r>
        <w:rPr>
          <w:color w:val="000000"/>
          <w:sz w:val="23"/>
          <w:szCs w:val="23"/>
        </w:rPr>
        <w:t xml:space="preserve"> </w:t>
      </w:r>
    </w:p>
    <w:p w14:paraId="00000014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75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Project(s) may be selected for FY 2026 </w:t>
      </w:r>
    </w:p>
    <w:p w14:paraId="00000015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55" w:lineRule="auto"/>
        <w:ind w:left="375" w:right="1243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Project(s) need to be on Roads functionally classified as a Major Collector or higher </w:t>
      </w: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$2,000,000 maximum amount of federal aid </w:t>
      </w:r>
    </w:p>
    <w:p w14:paraId="00000016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5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Required local match of 6.77% </w:t>
      </w:r>
    </w:p>
    <w:p w14:paraId="00000017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53" w:lineRule="auto"/>
        <w:ind w:left="724" w:right="50" w:hanging="349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Special rule allows States to use up to 15% of funds sub-allocated for areas with a population </w:t>
      </w:r>
      <w:proofErr w:type="gramStart"/>
      <w:r>
        <w:rPr>
          <w:color w:val="000000"/>
        </w:rPr>
        <w:t>of  49,999</w:t>
      </w:r>
      <w:proofErr w:type="gramEnd"/>
      <w:r>
        <w:rPr>
          <w:color w:val="000000"/>
        </w:rPr>
        <w:t xml:space="preserve"> or less on rural minor collectors and local roads. Call Chris Potter before applying to </w:t>
      </w:r>
      <w:proofErr w:type="gramStart"/>
      <w:r>
        <w:rPr>
          <w:color w:val="000000"/>
        </w:rPr>
        <w:t>find  out</w:t>
      </w:r>
      <w:proofErr w:type="gramEnd"/>
      <w:r>
        <w:rPr>
          <w:color w:val="000000"/>
        </w:rPr>
        <w:t xml:space="preserve"> what the 15% is in dollars so you can scale your project accordingly.</w:t>
      </w:r>
    </w:p>
    <w:p w14:paraId="00000018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State Park Access Funds</w:t>
      </w:r>
      <w:r>
        <w:rPr>
          <w:color w:val="000000"/>
          <w:sz w:val="23"/>
          <w:szCs w:val="23"/>
        </w:rPr>
        <w:t xml:space="preserve"> </w:t>
      </w:r>
    </w:p>
    <w:p w14:paraId="00000019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5"/>
        <w:rPr>
          <w:color w:val="000000"/>
        </w:rPr>
      </w:pPr>
      <w:r>
        <w:rPr>
          <w:color w:val="000000"/>
          <w:sz w:val="25"/>
          <w:szCs w:val="25"/>
        </w:rPr>
        <w:lastRenderedPageBreak/>
        <w:t xml:space="preserve">• </w:t>
      </w:r>
      <w:r>
        <w:rPr>
          <w:color w:val="000000"/>
        </w:rPr>
        <w:t xml:space="preserve">Project(s) may be selected for FY 2026 </w:t>
      </w:r>
    </w:p>
    <w:p w14:paraId="0000001A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75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Maximum amount of state participation is $500,000 per project. </w:t>
      </w:r>
    </w:p>
    <w:p w14:paraId="0000001B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8" w:lineRule="auto"/>
        <w:ind w:left="737" w:right="11" w:hanging="362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>To be eligible for this program a road must be listed in the Utah Code in Sections 72-3-202 to 72</w:t>
      </w:r>
      <w:proofErr w:type="gramStart"/>
      <w:r>
        <w:rPr>
          <w:color w:val="000000"/>
        </w:rPr>
        <w:t>-  3</w:t>
      </w:r>
      <w:proofErr w:type="gramEnd"/>
      <w:r>
        <w:rPr>
          <w:color w:val="000000"/>
        </w:rPr>
        <w:t xml:space="preserve">-206. </w:t>
      </w:r>
    </w:p>
    <w:p w14:paraId="0000001C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3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Local match 50%  </w:t>
      </w:r>
    </w:p>
    <w:p w14:paraId="0000001D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ind w:left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Small Urban Funds</w:t>
      </w:r>
      <w:r>
        <w:rPr>
          <w:color w:val="000000"/>
          <w:sz w:val="23"/>
          <w:szCs w:val="23"/>
        </w:rPr>
        <w:t xml:space="preserve"> </w:t>
      </w:r>
    </w:p>
    <w:p w14:paraId="0000001E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5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Project(s) may be selected For FY 2026 </w:t>
      </w:r>
    </w:p>
    <w:p w14:paraId="0000001F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55" w:lineRule="auto"/>
        <w:ind w:left="375" w:right="1955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Projects need to be on Roads functionally classified as a Collector or higher </w:t>
      </w: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$1,500,000 maximum amount of federal aid </w:t>
      </w:r>
    </w:p>
    <w:p w14:paraId="00000020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5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Required local match of 6.77% </w:t>
      </w:r>
    </w:p>
    <w:p w14:paraId="00000021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3" w:lineRule="auto"/>
        <w:ind w:left="599" w:right="115" w:hanging="224"/>
        <w:jc w:val="both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Special rule allows States to use up to 15% of funds sub-allocated for areas with a population of   49,999 or less on rural minor collectors and local roads. Call Chris Potter before applying to </w:t>
      </w:r>
      <w:proofErr w:type="gramStart"/>
      <w:r>
        <w:rPr>
          <w:color w:val="000000"/>
        </w:rPr>
        <w:t>find  out</w:t>
      </w:r>
      <w:proofErr w:type="gramEnd"/>
      <w:r>
        <w:rPr>
          <w:color w:val="000000"/>
        </w:rPr>
        <w:t xml:space="preserve"> what the 15% is in dollars so you can scale your project accordingly.  </w:t>
      </w:r>
    </w:p>
    <w:p w14:paraId="00000022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 w:line="240" w:lineRule="auto"/>
        <w:ind w:left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Off System Bridge Funds</w:t>
      </w:r>
      <w:r>
        <w:rPr>
          <w:color w:val="000000"/>
          <w:sz w:val="23"/>
          <w:szCs w:val="23"/>
        </w:rPr>
        <w:t xml:space="preserve"> </w:t>
      </w:r>
    </w:p>
    <w:p w14:paraId="00000023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5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Project(s) may be selected for FY 2025 &amp; FY2026 </w:t>
      </w:r>
    </w:p>
    <w:p w14:paraId="00000024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51" w:lineRule="auto"/>
        <w:ind w:left="375" w:right="1119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Projects need to be on Roads functionally classified as Local or Rural Minor Collector </w:t>
      </w: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No Maximum amount of federal aid </w:t>
      </w:r>
    </w:p>
    <w:p w14:paraId="00000025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5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Required local match of 6.77% </w:t>
      </w:r>
    </w:p>
    <w:p w14:paraId="00000026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8" w:lineRule="auto"/>
        <w:ind w:left="616" w:hanging="240"/>
        <w:rPr>
          <w:color w:val="FF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FF0000"/>
        </w:rPr>
        <w:t xml:space="preserve">Verify your candidate bridge is not on the New Bridge Program Funding List with UDOT </w:t>
      </w:r>
      <w:proofErr w:type="gramStart"/>
      <w:r>
        <w:rPr>
          <w:color w:val="FF0000"/>
        </w:rPr>
        <w:t>Structures  before</w:t>
      </w:r>
      <w:proofErr w:type="gramEnd"/>
      <w:r>
        <w:rPr>
          <w:color w:val="FF0000"/>
        </w:rPr>
        <w:t xml:space="preserve"> applying  </w:t>
      </w:r>
    </w:p>
    <w:p w14:paraId="00000027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60" w:lineRule="auto"/>
        <w:ind w:left="375" w:right="2299" w:hanging="374"/>
        <w:rPr>
          <w:color w:val="000000"/>
        </w:rPr>
      </w:pPr>
      <w:r>
        <w:rPr>
          <w:color w:val="000000"/>
          <w:sz w:val="23"/>
          <w:szCs w:val="23"/>
          <w:u w:val="single"/>
        </w:rPr>
        <w:t xml:space="preserve">Transportation Alternative Funds </w:t>
      </w:r>
      <w:r>
        <w:rPr>
          <w:color w:val="000000"/>
        </w:rPr>
        <w:t xml:space="preserve">(Previously Transportation Enhancement) </w:t>
      </w: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Project(s) will be selected for funding in: </w:t>
      </w:r>
    </w:p>
    <w:p w14:paraId="00000028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095"/>
        <w:rPr>
          <w:color w:val="000000"/>
        </w:rPr>
      </w:pPr>
      <w:r>
        <w:rPr>
          <w:color w:val="000000"/>
        </w:rPr>
        <w:t xml:space="preserve">o Small Urban Areas – FY 2023 thru FY 2026 </w:t>
      </w:r>
    </w:p>
    <w:p w14:paraId="00000029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1095"/>
        <w:rPr>
          <w:color w:val="000000"/>
        </w:rPr>
      </w:pPr>
      <w:r>
        <w:rPr>
          <w:color w:val="000000"/>
        </w:rPr>
        <w:t xml:space="preserve">o Non-Urban Areas – FY 2023 thru FY 2026 </w:t>
      </w:r>
    </w:p>
    <w:p w14:paraId="0000002A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70" w:lineRule="auto"/>
        <w:ind w:left="375" w:right="1115"/>
        <w:jc w:val="center"/>
        <w:rPr>
          <w:color w:val="0000FF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Projects must meet one of the eligible categories indicated at the following website:  o </w:t>
      </w:r>
      <w:r>
        <w:rPr>
          <w:color w:val="0000FF"/>
          <w:u w:val="single"/>
        </w:rPr>
        <w:t>http://www.fhwa.dot.gov/map21/qandas/qatap.cfm</w:t>
      </w:r>
      <w:r>
        <w:rPr>
          <w:color w:val="0000FF"/>
        </w:rPr>
        <w:t xml:space="preserve"> </w:t>
      </w:r>
    </w:p>
    <w:p w14:paraId="0000002B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5"/>
        <w:rPr>
          <w:color w:val="000000"/>
        </w:rPr>
      </w:pPr>
      <w:r>
        <w:rPr>
          <w:color w:val="000000"/>
          <w:sz w:val="25"/>
          <w:szCs w:val="25"/>
        </w:rPr>
        <w:t xml:space="preserve">• </w:t>
      </w:r>
      <w:r>
        <w:rPr>
          <w:color w:val="000000"/>
        </w:rPr>
        <w:t xml:space="preserve">Required Match of 6.77%  </w:t>
      </w:r>
    </w:p>
    <w:p w14:paraId="0000002C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80" w:lineRule="auto"/>
        <w:ind w:right="174" w:firstLine="17"/>
        <w:rPr>
          <w:color w:val="000000"/>
        </w:rPr>
      </w:pPr>
      <w:r>
        <w:rPr>
          <w:color w:val="000000"/>
        </w:rPr>
        <w:t xml:space="preserve">In a change from prior years, applications for Transportation Alternative projects located within any </w:t>
      </w:r>
      <w:proofErr w:type="gramStart"/>
      <w:r>
        <w:rPr>
          <w:color w:val="000000"/>
        </w:rPr>
        <w:t>of  the</w:t>
      </w:r>
      <w:proofErr w:type="gramEnd"/>
      <w:r>
        <w:rPr>
          <w:color w:val="000000"/>
        </w:rPr>
        <w:t xml:space="preserve"> metropolitan planning areas will be received through the respective metropolitan planning  organization for that area. All applications within the urbanized areas need to go directly to the </w:t>
      </w:r>
      <w:proofErr w:type="gramStart"/>
      <w:r>
        <w:rPr>
          <w:color w:val="000000"/>
        </w:rPr>
        <w:t>MPO’s  as</w:t>
      </w:r>
      <w:proofErr w:type="gramEnd"/>
      <w:r>
        <w:rPr>
          <w:color w:val="000000"/>
        </w:rPr>
        <w:t xml:space="preserve"> per MAP-21.  </w:t>
      </w:r>
    </w:p>
    <w:p w14:paraId="0000002D" w14:textId="77777777" w:rsidR="0013018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83" w:lineRule="auto"/>
        <w:ind w:left="9" w:right="222" w:hanging="8"/>
        <w:rPr>
          <w:color w:val="000000"/>
        </w:rPr>
      </w:pPr>
      <w:r>
        <w:rPr>
          <w:color w:val="000000"/>
        </w:rPr>
        <w:t>Applications in the Small Urban and Rural areas will be received and administered by a sub-</w:t>
      </w:r>
      <w:proofErr w:type="gramStart"/>
      <w:r>
        <w:rPr>
          <w:color w:val="000000"/>
        </w:rPr>
        <w:t>committee  of</w:t>
      </w:r>
      <w:proofErr w:type="gramEnd"/>
      <w:r>
        <w:rPr>
          <w:color w:val="000000"/>
        </w:rPr>
        <w:t xml:space="preserve"> the Joint Highway Committee. </w:t>
      </w:r>
    </w:p>
    <w:sectPr w:rsidR="00130184">
      <w:pgSz w:w="12240" w:h="15840"/>
      <w:pgMar w:top="883" w:right="1411" w:bottom="167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84"/>
    <w:rsid w:val="00130184"/>
    <w:rsid w:val="003116A2"/>
    <w:rsid w:val="00E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9E053-5156-4882-A2BD-83E9275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Smith</dc:creator>
  <cp:lastModifiedBy>Judi Davis</cp:lastModifiedBy>
  <cp:revision>2</cp:revision>
  <dcterms:created xsi:type="dcterms:W3CDTF">2023-07-19T22:53:00Z</dcterms:created>
  <dcterms:modified xsi:type="dcterms:W3CDTF">2023-07-19T22:53:00Z</dcterms:modified>
</cp:coreProperties>
</file>